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3A1" w:rsidRDefault="009153A1" w:rsidP="009153A1">
      <w:pPr>
        <w:spacing w:line="240" w:lineRule="auto"/>
      </w:pPr>
    </w:p>
    <w:p w:rsidR="009153A1" w:rsidRDefault="009153A1" w:rsidP="009153A1">
      <w:pPr>
        <w:spacing w:line="240" w:lineRule="auto"/>
        <w:jc w:val="center"/>
        <w:rPr>
          <w:b/>
        </w:rPr>
      </w:pPr>
      <w:r>
        <w:rPr>
          <w:b/>
        </w:rPr>
        <w:t>The Department of Special Education at United Arab University</w:t>
      </w:r>
    </w:p>
    <w:p w:rsidR="009153A1" w:rsidRDefault="009153A1" w:rsidP="009153A1">
      <w:pPr>
        <w:spacing w:line="240" w:lineRule="auto"/>
        <w:jc w:val="center"/>
        <w:rPr>
          <w:b/>
        </w:rPr>
      </w:pPr>
    </w:p>
    <w:p w:rsidR="009153A1" w:rsidRDefault="009153A1" w:rsidP="009153A1">
      <w:pPr>
        <w:spacing w:line="240" w:lineRule="auto"/>
        <w:jc w:val="center"/>
        <w:rPr>
          <w:b/>
        </w:rPr>
      </w:pPr>
      <w:r>
        <w:rPr>
          <w:b/>
        </w:rPr>
        <w:t xml:space="preserve">In Collabortation with the Hamdan Bin Rashid Al Maktoum Award for </w:t>
      </w:r>
    </w:p>
    <w:p w:rsidR="009153A1" w:rsidRDefault="009153A1" w:rsidP="009153A1">
      <w:pPr>
        <w:spacing w:line="240" w:lineRule="auto"/>
        <w:jc w:val="center"/>
        <w:rPr>
          <w:b/>
        </w:rPr>
      </w:pPr>
      <w:r>
        <w:rPr>
          <w:b/>
        </w:rPr>
        <w:t>Distinguished Academic Performance</w:t>
      </w:r>
    </w:p>
    <w:p w:rsidR="009153A1" w:rsidRDefault="009153A1" w:rsidP="009153A1">
      <w:pPr>
        <w:spacing w:line="240" w:lineRule="auto"/>
        <w:jc w:val="center"/>
        <w:rPr>
          <w:b/>
        </w:rPr>
      </w:pPr>
    </w:p>
    <w:p w:rsidR="009153A1" w:rsidRPr="00023788" w:rsidRDefault="009153A1" w:rsidP="009153A1">
      <w:pPr>
        <w:spacing w:line="240" w:lineRule="auto"/>
        <w:jc w:val="center"/>
        <w:rPr>
          <w:b/>
          <w:i/>
          <w:sz w:val="36"/>
        </w:rPr>
      </w:pPr>
      <w:r w:rsidRPr="00023788">
        <w:rPr>
          <w:b/>
          <w:i/>
          <w:sz w:val="36"/>
        </w:rPr>
        <w:t>Reading: between creativity and excellence</w:t>
      </w:r>
    </w:p>
    <w:p w:rsidR="009153A1" w:rsidRDefault="009153A1" w:rsidP="009153A1">
      <w:pPr>
        <w:jc w:val="center"/>
        <w:rPr>
          <w:b/>
        </w:rPr>
      </w:pPr>
    </w:p>
    <w:p w:rsidR="009153A1" w:rsidRDefault="009153A1" w:rsidP="009153A1">
      <w:pPr>
        <w:ind w:left="360" w:hanging="360"/>
        <w:jc w:val="both"/>
      </w:pPr>
      <w:r w:rsidRPr="00310D1D">
        <w:rPr>
          <w:i/>
        </w:rPr>
        <w:t>Targeted theme:</w:t>
      </w:r>
      <w:r>
        <w:t xml:space="preserve"> Methods of identifying the gifted and talented</w:t>
      </w:r>
    </w:p>
    <w:p w:rsidR="009153A1" w:rsidRDefault="009153A1" w:rsidP="009153A1">
      <w:pPr>
        <w:ind w:left="360" w:hanging="360"/>
        <w:jc w:val="both"/>
      </w:pPr>
      <w:r w:rsidRPr="00310D1D">
        <w:rPr>
          <w:i/>
        </w:rPr>
        <w:t>Conference activity:</w:t>
      </w:r>
      <w:r>
        <w:t xml:space="preserve"> Workshop</w:t>
      </w:r>
    </w:p>
    <w:p w:rsidR="009153A1" w:rsidRPr="00310D1D" w:rsidRDefault="009153A1" w:rsidP="009153A1">
      <w:pPr>
        <w:shd w:val="clear" w:color="auto" w:fill="FFFFFF"/>
        <w:spacing w:after="200"/>
        <w:jc w:val="both"/>
        <w:rPr>
          <w:rFonts w:ascii="Arial" w:hAnsi="Arial" w:cs="Arial"/>
          <w:color w:val="222222"/>
          <w:szCs w:val="21"/>
          <w:lang w:val="en-US"/>
        </w:rPr>
      </w:pPr>
      <w:r w:rsidRPr="00310D1D">
        <w:rPr>
          <w:i/>
          <w:color w:val="222222"/>
          <w:szCs w:val="21"/>
          <w:lang w:val="en-US"/>
        </w:rPr>
        <w:t>Intended Audience:</w:t>
      </w:r>
      <w:r w:rsidRPr="00E50068">
        <w:rPr>
          <w:color w:val="222222"/>
          <w:szCs w:val="21"/>
          <w:lang w:val="en-US"/>
        </w:rPr>
        <w:t xml:space="preserve"> Teachers of gifted and talented students; students and faculty members from Colleges of Education</w:t>
      </w:r>
      <w:r>
        <w:rPr>
          <w:rFonts w:ascii="Arial" w:hAnsi="Arial" w:cs="Arial"/>
          <w:color w:val="222222"/>
          <w:szCs w:val="21"/>
          <w:lang w:val="en-US"/>
        </w:rPr>
        <w:t xml:space="preserve">         </w:t>
      </w:r>
      <w:r w:rsidRPr="00310D1D">
        <w:rPr>
          <w:i/>
          <w:color w:val="222222"/>
          <w:szCs w:val="21"/>
          <w:lang w:val="en-US"/>
        </w:rPr>
        <w:t>Intended Level:</w:t>
      </w:r>
      <w:r w:rsidRPr="00E50068">
        <w:rPr>
          <w:color w:val="222222"/>
          <w:szCs w:val="21"/>
          <w:lang w:val="en-US"/>
        </w:rPr>
        <w:t xml:space="preserve"> Beginning-intermediate</w:t>
      </w:r>
    </w:p>
    <w:p w:rsidR="009153A1" w:rsidRPr="00310D1D" w:rsidRDefault="009153A1" w:rsidP="009153A1">
      <w:pPr>
        <w:shd w:val="clear" w:color="auto" w:fill="FFFFFF"/>
        <w:spacing w:after="200"/>
        <w:rPr>
          <w:b/>
          <w:color w:val="222222"/>
          <w:sz w:val="24"/>
          <w:szCs w:val="24"/>
          <w:lang w:val="en-US"/>
        </w:rPr>
      </w:pPr>
      <w:bookmarkStart w:id="0" w:name="_GoBack"/>
      <w:r w:rsidRPr="0028097A">
        <w:rPr>
          <w:b/>
          <w:color w:val="222222"/>
          <w:sz w:val="24"/>
          <w:szCs w:val="24"/>
          <w:lang w:val="en-US"/>
        </w:rPr>
        <w:t xml:space="preserve">Mrs. Brooke Trenwith </w:t>
      </w:r>
      <w:r>
        <w:rPr>
          <w:b/>
          <w:color w:val="222222"/>
          <w:sz w:val="24"/>
          <w:szCs w:val="24"/>
          <w:lang w:val="en-US"/>
        </w:rPr>
        <w:t xml:space="preserve">                </w:t>
      </w:r>
      <w:bookmarkEnd w:id="0"/>
      <w:r w:rsidRPr="0028097A">
        <w:rPr>
          <w:b/>
          <w:color w:val="222222"/>
          <w:sz w:val="24"/>
          <w:szCs w:val="24"/>
          <w:lang w:val="en-US"/>
        </w:rPr>
        <w:t>Cognition Education Ltd</w:t>
      </w:r>
    </w:p>
    <w:p w:rsidR="009153A1" w:rsidRDefault="009153A1" w:rsidP="009153A1">
      <w:pPr>
        <w:ind w:left="360" w:hanging="360"/>
        <w:jc w:val="both"/>
        <w:rPr>
          <w:color w:val="222222"/>
          <w:sz w:val="24"/>
          <w:szCs w:val="24"/>
          <w:lang w:val="en-US"/>
        </w:rPr>
      </w:pPr>
      <w:r>
        <w:rPr>
          <w:b/>
          <w:bCs/>
          <w:color w:val="222222"/>
          <w:sz w:val="24"/>
          <w:szCs w:val="24"/>
          <w:lang w:val="en-US"/>
        </w:rPr>
        <w:t>Title:</w:t>
      </w:r>
      <w:r>
        <w:rPr>
          <w:color w:val="222222"/>
          <w:sz w:val="24"/>
          <w:szCs w:val="24"/>
          <w:lang w:val="en-US"/>
        </w:rPr>
        <w:t>  Identifying gifted and talented students in multiple areas and targeting strategies to turn potential into performance</w:t>
      </w:r>
    </w:p>
    <w:p w:rsidR="009153A1" w:rsidRDefault="009153A1" w:rsidP="009153A1">
      <w:pPr>
        <w:ind w:left="360" w:hanging="360"/>
      </w:pPr>
    </w:p>
    <w:p w:rsidR="009153A1" w:rsidRPr="00102B48" w:rsidRDefault="009153A1" w:rsidP="00102B48">
      <w:pPr>
        <w:ind w:left="360" w:hanging="360"/>
        <w:jc w:val="both"/>
        <w:rPr>
          <w:bCs/>
          <w:color w:val="222222"/>
          <w:sz w:val="24"/>
          <w:szCs w:val="24"/>
          <w:lang w:val="en-US"/>
        </w:rPr>
      </w:pPr>
      <w:r>
        <w:rPr>
          <w:b/>
          <w:bCs/>
          <w:color w:val="222222"/>
          <w:sz w:val="24"/>
          <w:szCs w:val="24"/>
          <w:lang w:val="en-US"/>
        </w:rPr>
        <w:t xml:space="preserve">Abstract:  </w:t>
      </w:r>
      <w:r>
        <w:rPr>
          <w:bCs/>
          <w:color w:val="222222"/>
          <w:sz w:val="24"/>
          <w:szCs w:val="24"/>
          <w:lang w:val="en-US"/>
        </w:rPr>
        <w:t xml:space="preserve">This workshop will provide an opportunity for participants to examine the characteristics of students to identify potential giftedness in six areas (intellectual abilities, creative abilities, personal/social qualities, athletic ability, visual and performing arts and technological abilities).  It will look at identifying the learning, social and emotional needs of these students and how to meet their needs using reading strategies.   Templates, frameworks and a research-based exemplars will be provided throughout the session to guide the participants in structuring their own </w:t>
      </w:r>
      <w:proofErr w:type="spellStart"/>
      <w:r>
        <w:rPr>
          <w:bCs/>
          <w:color w:val="222222"/>
          <w:sz w:val="24"/>
          <w:szCs w:val="24"/>
          <w:lang w:val="en-US"/>
        </w:rPr>
        <w:t>programme</w:t>
      </w:r>
      <w:proofErr w:type="spellEnd"/>
      <w:r>
        <w:rPr>
          <w:bCs/>
          <w:color w:val="222222"/>
          <w:sz w:val="24"/>
          <w:szCs w:val="24"/>
          <w:lang w:val="en-US"/>
        </w:rPr>
        <w:t xml:space="preserve">. In addition, online support will be highlighted to ensure </w:t>
      </w:r>
      <w:proofErr w:type="spellStart"/>
      <w:r>
        <w:rPr>
          <w:bCs/>
          <w:color w:val="222222"/>
          <w:sz w:val="24"/>
          <w:szCs w:val="24"/>
          <w:lang w:val="en-US"/>
        </w:rPr>
        <w:t>conintued</w:t>
      </w:r>
      <w:proofErr w:type="spellEnd"/>
      <w:r>
        <w:rPr>
          <w:bCs/>
          <w:color w:val="222222"/>
          <w:sz w:val="24"/>
          <w:szCs w:val="24"/>
          <w:lang w:val="en-US"/>
        </w:rPr>
        <w:t xml:space="preserve"> support beyond the conference. </w:t>
      </w:r>
    </w:p>
    <w:p w:rsidR="009153A1" w:rsidRPr="00E50068" w:rsidRDefault="009153A1" w:rsidP="009153A1">
      <w:pPr>
        <w:ind w:left="360" w:hanging="360"/>
        <w:jc w:val="both"/>
        <w:rPr>
          <w:bCs/>
          <w:color w:val="222222"/>
          <w:sz w:val="24"/>
          <w:szCs w:val="24"/>
          <w:lang w:val="en-US"/>
        </w:rPr>
      </w:pPr>
      <w:r>
        <w:rPr>
          <w:b/>
          <w:bCs/>
          <w:color w:val="222222"/>
          <w:sz w:val="24"/>
          <w:szCs w:val="24"/>
          <w:lang w:val="en-US"/>
        </w:rPr>
        <w:t xml:space="preserve">Extended description:  </w:t>
      </w:r>
      <w:r>
        <w:rPr>
          <w:bCs/>
          <w:color w:val="222222"/>
          <w:sz w:val="24"/>
          <w:szCs w:val="24"/>
          <w:lang w:val="en-US"/>
        </w:rPr>
        <w:t xml:space="preserve">This workshop shares resources and techniques developed by the Cognition Education Gifted and Talented Education team.  The team have trailed these strategies and techniques in Grade 1-12 schools across New Zealand and these are now being shared with the international community.  These resources allow the identification and provision for gifted students to be shared across teachers and schools. The </w:t>
      </w:r>
      <w:proofErr w:type="spellStart"/>
      <w:r>
        <w:rPr>
          <w:bCs/>
          <w:color w:val="222222"/>
          <w:sz w:val="24"/>
          <w:szCs w:val="24"/>
          <w:lang w:val="en-US"/>
        </w:rPr>
        <w:t>programme</w:t>
      </w:r>
      <w:proofErr w:type="spellEnd"/>
      <w:r>
        <w:rPr>
          <w:bCs/>
          <w:color w:val="222222"/>
          <w:sz w:val="24"/>
          <w:szCs w:val="24"/>
          <w:lang w:val="en-US"/>
        </w:rPr>
        <w:t xml:space="preserve"> has been based on </w:t>
      </w:r>
      <w:proofErr w:type="spellStart"/>
      <w:r>
        <w:rPr>
          <w:bCs/>
          <w:color w:val="222222"/>
          <w:sz w:val="24"/>
          <w:szCs w:val="24"/>
          <w:lang w:val="en-US"/>
        </w:rPr>
        <w:t>Françoys</w:t>
      </w:r>
      <w:proofErr w:type="spellEnd"/>
      <w:r>
        <w:rPr>
          <w:bCs/>
          <w:color w:val="222222"/>
          <w:sz w:val="24"/>
          <w:szCs w:val="24"/>
          <w:lang w:val="en-US"/>
        </w:rPr>
        <w:t xml:space="preserve"> </w:t>
      </w:r>
      <w:proofErr w:type="spellStart"/>
      <w:r>
        <w:rPr>
          <w:bCs/>
          <w:color w:val="222222"/>
          <w:sz w:val="24"/>
          <w:szCs w:val="24"/>
          <w:lang w:val="en-US"/>
        </w:rPr>
        <w:t>Gagné’s</w:t>
      </w:r>
      <w:proofErr w:type="spellEnd"/>
      <w:r>
        <w:rPr>
          <w:bCs/>
          <w:color w:val="222222"/>
          <w:sz w:val="24"/>
          <w:szCs w:val="24"/>
          <w:lang w:val="en-US"/>
        </w:rPr>
        <w:t xml:space="preserve"> Differentiated Model of Giftedness and Talent (2012) and looks at how to identify potential and target provision to enhance performance. </w:t>
      </w:r>
    </w:p>
    <w:p w:rsidR="009153A1" w:rsidRDefault="009153A1" w:rsidP="009153A1">
      <w:pPr>
        <w:ind w:left="720" w:hanging="360"/>
        <w:rPr>
          <w:b/>
          <w:bCs/>
          <w:color w:val="222222"/>
          <w:sz w:val="24"/>
          <w:szCs w:val="24"/>
          <w:lang w:val="en-US"/>
        </w:rPr>
      </w:pPr>
    </w:p>
    <w:p w:rsidR="009153A1" w:rsidRPr="00310D1D" w:rsidRDefault="009153A1" w:rsidP="009153A1">
      <w:pPr>
        <w:shd w:val="clear" w:color="auto" w:fill="FFFFFF"/>
        <w:spacing w:after="200"/>
      </w:pPr>
      <w:r>
        <w:rPr>
          <w:b/>
          <w:bCs/>
          <w:color w:val="222222"/>
          <w:sz w:val="24"/>
          <w:szCs w:val="24"/>
          <w:lang w:val="en-US"/>
        </w:rPr>
        <w:t xml:space="preserve">Delivery format: </w:t>
      </w:r>
      <w:r>
        <w:rPr>
          <w:color w:val="222222"/>
          <w:sz w:val="24"/>
          <w:szCs w:val="24"/>
          <w:lang w:val="en-US"/>
        </w:rPr>
        <w:t>Oral presentation with supporting PowerPoint.</w:t>
      </w:r>
    </w:p>
    <w:p w:rsidR="00BB5C3B" w:rsidRPr="0038558B" w:rsidRDefault="00BB5C3B" w:rsidP="00683C87">
      <w:pPr>
        <w:rPr>
          <w:color w:val="222222"/>
          <w:sz w:val="24"/>
          <w:szCs w:val="24"/>
          <w:rtl/>
          <w:lang w:val="en-PH"/>
        </w:rPr>
      </w:pPr>
    </w:p>
    <w:sectPr w:rsidR="00BB5C3B" w:rsidRPr="003855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roxima Nova Rg">
    <w:altName w:val="Candara"/>
    <w:panose1 w:val="00000000000000000000"/>
    <w:charset w:val="00"/>
    <w:family w:val="modern"/>
    <w:notTrueType/>
    <w:pitch w:val="variable"/>
    <w:sig w:usb0="00000001" w:usb1="5000E0FB" w:usb2="00000000" w:usb3="00000000" w:csb0="0000019B" w:csb1="00000000"/>
  </w:font>
  <w:font w:name="Proxima Nova Bl">
    <w:altName w:val="Candara"/>
    <w:panose1 w:val="00000000000000000000"/>
    <w:charset w:val="00"/>
    <w:family w:val="modern"/>
    <w:notTrueType/>
    <w:pitch w:val="variable"/>
    <w:sig w:usb0="00000001" w:usb1="5000E0FB" w:usb2="00000000" w:usb3="00000000" w:csb0="0000019B"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3A1"/>
    <w:rsid w:val="00102B48"/>
    <w:rsid w:val="00284CDF"/>
    <w:rsid w:val="00683C87"/>
    <w:rsid w:val="009153A1"/>
    <w:rsid w:val="00BB5C3B"/>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5DE14D-1B82-4FF1-872C-38200CA08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3A1"/>
    <w:rPr>
      <w:rFonts w:ascii="Proxima Nova Rg" w:hAnsi="Proxima Nova Rg"/>
      <w:sz w:val="21"/>
      <w:lang w:val="mi-NZ"/>
    </w:rPr>
  </w:style>
  <w:style w:type="paragraph" w:styleId="Heading1">
    <w:name w:val="heading 1"/>
    <w:basedOn w:val="Normal"/>
    <w:next w:val="Normal"/>
    <w:link w:val="Heading1Char"/>
    <w:uiPriority w:val="9"/>
    <w:qFormat/>
    <w:rsid w:val="009153A1"/>
    <w:pPr>
      <w:spacing w:before="160"/>
      <w:outlineLvl w:val="0"/>
    </w:pPr>
    <w:rPr>
      <w:rFonts w:ascii="Proxima Nova Bl" w:hAnsi="Proxima Nova Bl"/>
      <w:color w:val="44546A" w:themeColor="text2"/>
      <w:sz w:val="4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3A1"/>
    <w:rPr>
      <w:rFonts w:ascii="Proxima Nova Bl" w:hAnsi="Proxima Nova Bl"/>
      <w:color w:val="44546A" w:themeColor="text2"/>
      <w:sz w:val="48"/>
      <w:szCs w:val="40"/>
      <w:lang w:val="mi-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Micheal King</dc:creator>
  <cp:keywords/>
  <dc:description/>
  <cp:lastModifiedBy>Hawa Al Suwaider</cp:lastModifiedBy>
  <cp:revision>5</cp:revision>
  <dcterms:created xsi:type="dcterms:W3CDTF">2016-07-29T02:30:00Z</dcterms:created>
  <dcterms:modified xsi:type="dcterms:W3CDTF">2016-10-06T06:10:00Z</dcterms:modified>
</cp:coreProperties>
</file>